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24641" w:type="dxa"/>
        <w:tblInd w:w="-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394"/>
        <w:gridCol w:w="1781"/>
        <w:gridCol w:w="10322"/>
        <w:gridCol w:w="93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6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409" w:firstLineChars="857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附件1：</w:t>
            </w:r>
          </w:p>
          <w:p>
            <w:pPr>
              <w:widowControl/>
              <w:ind w:firstLine="6160" w:firstLineChars="1400"/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44"/>
                <w:szCs w:val="44"/>
              </w:rPr>
              <w:t>浙江省学习型城市评审标准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779" w:type="dxa"/>
          <w:wAfter w:w="9365" w:type="dxa"/>
          <w:trHeight w:val="497" w:hRule="atLeast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7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103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评分标准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779" w:type="dxa"/>
          <w:wAfter w:w="9365" w:type="dxa"/>
          <w:trHeight w:val="662" w:hRule="atLeast"/>
        </w:trPr>
        <w:tc>
          <w:tcPr>
            <w:tcW w:w="139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一、基本条件</w:t>
            </w:r>
          </w:p>
        </w:tc>
        <w:tc>
          <w:tcPr>
            <w:tcW w:w="17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组织领导</w:t>
            </w:r>
          </w:p>
        </w:tc>
        <w:tc>
          <w:tcPr>
            <w:tcW w:w="103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党委政府重视学习型城市建设工作，成立相应的工作机构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(1.5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分），定期召开会议（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1.5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分），并将其纳入政府工作考核内容（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1.5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。各有关部门职责明确，落实相关工作目标责任，三项均达到得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779" w:type="dxa"/>
          <w:wAfter w:w="9365" w:type="dxa"/>
          <w:trHeight w:val="346" w:hRule="atLeast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发展规划</w:t>
            </w:r>
          </w:p>
        </w:tc>
        <w:tc>
          <w:tcPr>
            <w:tcW w:w="103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学习型城市建设工作纳入区域经济社会发展、教育、人才队伍建设等专项规划，每制定一个规划得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1.5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分，三项均达到得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779" w:type="dxa"/>
          <w:wAfter w:w="9365" w:type="dxa"/>
          <w:trHeight w:val="662" w:hRule="atLeast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学前教育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和基础教育</w:t>
            </w:r>
          </w:p>
        </w:tc>
        <w:tc>
          <w:tcPr>
            <w:tcW w:w="103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区域内学前教育、九年制义务教育、高中阶段教育普及率达到省政府规定指标。学前教育、九年制义务教育、高中阶段教育普及率均达到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97%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99.9%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95.9%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以上，每达到一项得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1.5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分，三项均达到得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779" w:type="dxa"/>
          <w:wAfter w:w="9365" w:type="dxa"/>
          <w:trHeight w:val="586" w:hRule="atLeast"/>
        </w:trPr>
        <w:tc>
          <w:tcPr>
            <w:tcW w:w="139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终身学习氛围</w:t>
            </w:r>
          </w:p>
        </w:tc>
        <w:tc>
          <w:tcPr>
            <w:tcW w:w="103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积极组织开展终身教育学习活动周等主题活动，积极倡导营造全民学习、终身学习的良好氛围；积极推进学习型单位、学习型党组织、学习型社团等各类学习型组织创建工作。当年举办终身教育学习活动周得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分，创建各类学习组织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80%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以上的得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779" w:type="dxa"/>
          <w:wAfter w:w="9365" w:type="dxa"/>
          <w:trHeight w:val="782" w:hRule="atLeast"/>
        </w:trPr>
        <w:tc>
          <w:tcPr>
            <w:tcW w:w="139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二、成人继续</w:t>
            </w:r>
            <w:r>
              <w:rPr>
                <w:rFonts w:ascii="黑体" w:eastAsia="黑体" w:cs="黑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7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5.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职业技能教育</w:t>
            </w:r>
          </w:p>
        </w:tc>
        <w:tc>
          <w:tcPr>
            <w:tcW w:w="103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企业职工、农村成人、干部、专业技术人员等人员积极参与继续教育，各类职业技能培训率达到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80%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以上；（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分）城市社区，登记在册的下岗待业失业人员和进城务工人员的培训率分别达到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以上和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40%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以上；（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分）农村社区，农民实用技术培训率达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40%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以上，农村劳动力外出转移培训率达到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40%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。（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分）为残疾人等弱势群体开展特殊教育达到相关规定。（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779" w:type="dxa"/>
          <w:wAfter w:w="9365" w:type="dxa"/>
          <w:trHeight w:val="916" w:hRule="atLeast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6.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老年教育</w:t>
            </w:r>
          </w:p>
        </w:tc>
        <w:tc>
          <w:tcPr>
            <w:tcW w:w="103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老年人参与教育活动达到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；（达到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及以上得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分、达到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49-40%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得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39-30%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得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分）扫盲教育成效明显，文盲率低于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2%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及以下。（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779" w:type="dxa"/>
          <w:wAfter w:w="9365" w:type="dxa"/>
          <w:trHeight w:val="854" w:hRule="atLeast"/>
        </w:trPr>
        <w:tc>
          <w:tcPr>
            <w:tcW w:w="139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7.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青少年校外教育</w:t>
            </w:r>
          </w:p>
        </w:tc>
        <w:tc>
          <w:tcPr>
            <w:tcW w:w="103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有专门服务未成年人的场所和主题教育活动（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分），未成年人参与校外教育活动的比例不低于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80%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分）。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779" w:type="dxa"/>
          <w:wAfter w:w="9365" w:type="dxa"/>
          <w:trHeight w:val="1238" w:hRule="atLeast"/>
        </w:trPr>
        <w:tc>
          <w:tcPr>
            <w:tcW w:w="139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三、保障措施</w:t>
            </w:r>
          </w:p>
        </w:tc>
        <w:tc>
          <w:tcPr>
            <w:tcW w:w="17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8.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师资队伍</w:t>
            </w:r>
          </w:p>
        </w:tc>
        <w:tc>
          <w:tcPr>
            <w:tcW w:w="103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建有一支专兼职结合的师资队伍。成人教育专职工作者占常住人口万分之一以上；（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分）志愿者工作队伍入册，档案规范，作用发挥稳定；（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分）管理人员和教师参加岗位培训和继续教育比率达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80%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以上；（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分）中小学等学校教师参与成人教育工作。（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779" w:type="dxa"/>
          <w:wAfter w:w="9365" w:type="dxa"/>
          <w:trHeight w:val="420" w:hRule="atLeast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9.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成校办学条件</w:t>
            </w:r>
          </w:p>
        </w:tc>
        <w:tc>
          <w:tcPr>
            <w:tcW w:w="103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县（市、区）、镇（乡、街道）、社区（村）三级学习服务网络健全。（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分）成人学校办学条件良好。（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分，）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779" w:type="dxa"/>
          <w:wAfter w:w="9365" w:type="dxa"/>
          <w:trHeight w:val="1104" w:hRule="atLeast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10.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教育资源整合</w:t>
            </w:r>
          </w:p>
        </w:tc>
        <w:tc>
          <w:tcPr>
            <w:tcW w:w="103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区域内普通中小学、幼儿园、中等职业学校、成人教育机构、高等学校等积极向居民开放（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2.5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分；公共图书馆、文化馆（站）、博物馆、美术馆、科技馆等各类公共设施免费向社会开放（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2.5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分）；各类资源共享度高。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779" w:type="dxa"/>
          <w:wAfter w:w="9365" w:type="dxa"/>
          <w:trHeight w:val="1053" w:hRule="atLeast"/>
        </w:trPr>
        <w:tc>
          <w:tcPr>
            <w:tcW w:w="139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11.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经费投入</w:t>
            </w:r>
          </w:p>
        </w:tc>
        <w:tc>
          <w:tcPr>
            <w:tcW w:w="103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财政性教育经费支出达到国家规定要求。（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分）财政性教育经费支出占财政经费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15%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以上。（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分）成人继续教育经费不少于常住人口人均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元。（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分）企业依法按照职工工资总额的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1.5%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2.5%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足额提取教育培训经费。（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分）事业单位、机关等的在职培训经费得到保障。（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779" w:type="dxa"/>
          <w:wAfter w:w="9365" w:type="dxa"/>
          <w:trHeight w:val="969" w:hRule="atLeast"/>
        </w:trPr>
        <w:tc>
          <w:tcPr>
            <w:tcW w:w="139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四、建设成效</w:t>
            </w:r>
          </w:p>
        </w:tc>
        <w:tc>
          <w:tcPr>
            <w:tcW w:w="17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12.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学习平台与资源建设</w:t>
            </w:r>
          </w:p>
        </w:tc>
        <w:tc>
          <w:tcPr>
            <w:tcW w:w="103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建有面向社会居民开放的终身学习平台（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分），开发建有区域特色的学习资源和特色课程（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分）。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779" w:type="dxa"/>
          <w:wAfter w:w="9365" w:type="dxa"/>
          <w:trHeight w:val="907" w:hRule="atLeast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13.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理论研究</w:t>
            </w:r>
          </w:p>
        </w:tc>
        <w:tc>
          <w:tcPr>
            <w:tcW w:w="103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开展学习型城市建设理论研究，形成了有效的建设经验和成果，并获得市级及以上表彰奖励以及省级推广（省市每表彰或推广一项得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1.5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分，满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分为限）。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779" w:type="dxa"/>
          <w:wAfter w:w="9365" w:type="dxa"/>
          <w:trHeight w:val="1129" w:hRule="atLeast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14.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社会评价</w:t>
            </w:r>
          </w:p>
        </w:tc>
        <w:tc>
          <w:tcPr>
            <w:tcW w:w="103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区域内学习型城市创建氛围浓厚，全年接受教育服务成员占全体常住人口的比例达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60%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以上（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分）。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1779" w:type="dxa"/>
          <w:wAfter w:w="9365" w:type="dxa"/>
          <w:trHeight w:val="846" w:hRule="atLeast"/>
        </w:trPr>
        <w:tc>
          <w:tcPr>
            <w:tcW w:w="139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15.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城市发展与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居民生活品质</w:t>
            </w:r>
          </w:p>
        </w:tc>
        <w:tc>
          <w:tcPr>
            <w:tcW w:w="103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城市居民终身学习理念较强；居民精神生活和环境生活质量较高；“安全社区”、“健康社区”、“数字社区”等各类创建活动有成效。社会和谐稳定，文明程度较高（开展各类创建活动的得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分，社会和谐稳定，文明程度视情给分）。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174C7"/>
    <w:rsid w:val="42D1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2019-03-22T08:05:00Z</dcterms:created>
  <dc:creator>delln</dc:creator>
  <cp:lastModifiedBy>delln</cp:lastModifiedBy>
  <dcterms:modified xsi:type="dcterms:W3CDTF">2019-03-22T08:08:24Z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