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1" w:rsidRPr="00B86735" w:rsidRDefault="00944B11" w:rsidP="00944B11">
      <w:pPr>
        <w:autoSpaceDE/>
        <w:autoSpaceDN/>
        <w:adjustRightInd/>
        <w:spacing w:line="580" w:lineRule="exact"/>
        <w:ind w:firstLineChars="0" w:firstLine="0"/>
        <w:jc w:val="center"/>
        <w:rPr>
          <w:rFonts w:eastAsia="方正小标宋简体"/>
          <w:b/>
          <w:color w:val="000000" w:themeColor="text1"/>
          <w:kern w:val="2"/>
          <w:sz w:val="36"/>
          <w:szCs w:val="36"/>
        </w:rPr>
      </w:pPr>
      <w:r w:rsidRPr="00B86735">
        <w:rPr>
          <w:rFonts w:eastAsia="方正小标宋简体"/>
          <w:b/>
          <w:color w:val="000000" w:themeColor="text1"/>
          <w:kern w:val="2"/>
          <w:sz w:val="36"/>
          <w:szCs w:val="36"/>
        </w:rPr>
        <w:t>浙江省学习型城市申报条件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Chars="0" w:firstLine="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Chars="180" w:firstLine="576"/>
        <w:jc w:val="both"/>
        <w:rPr>
          <w:rFonts w:eastAsia="黑体"/>
          <w:color w:val="000000" w:themeColor="text1"/>
          <w:kern w:val="2"/>
          <w:sz w:val="32"/>
          <w:szCs w:val="32"/>
        </w:rPr>
      </w:pPr>
      <w:r w:rsidRPr="004B5953">
        <w:rPr>
          <w:rFonts w:eastAsia="黑体"/>
          <w:color w:val="000000" w:themeColor="text1"/>
          <w:kern w:val="2"/>
          <w:sz w:val="32"/>
          <w:szCs w:val="32"/>
        </w:rPr>
        <w:t>一、基本条件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1.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党委政府重视学习型城市建设工作，成立相应的工作机构，定期召开会议，并将其纳入政府工</w:t>
      </w:r>
      <w:proofErr w:type="gramStart"/>
      <w:r w:rsidRPr="004B5953">
        <w:rPr>
          <w:rFonts w:eastAsia="仿宋_GB2312"/>
          <w:color w:val="000000" w:themeColor="text1"/>
          <w:kern w:val="2"/>
          <w:sz w:val="32"/>
          <w:szCs w:val="32"/>
        </w:rPr>
        <w:t>作考核</w:t>
      </w:r>
      <w:proofErr w:type="gramEnd"/>
      <w:r w:rsidRPr="004B5953">
        <w:rPr>
          <w:rFonts w:eastAsia="仿宋_GB2312"/>
          <w:color w:val="000000" w:themeColor="text1"/>
          <w:kern w:val="2"/>
          <w:sz w:val="32"/>
          <w:szCs w:val="32"/>
        </w:rPr>
        <w:t>内容。各有关部门职责明确，落实相关工作目标责任。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2.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区域内学前教育、九年制义务教育、高中阶段教育</w:t>
      </w:r>
      <w:r w:rsidRPr="004B5953">
        <w:rPr>
          <w:rFonts w:eastAsia="仿宋_GB2312" w:hint="eastAsia"/>
          <w:color w:val="000000" w:themeColor="text1"/>
          <w:kern w:val="2"/>
          <w:sz w:val="32"/>
          <w:szCs w:val="32"/>
        </w:rPr>
        <w:t>普及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率达到省政府规定指标。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3.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企业职工、农村成人、干部、专业技术人员等人员积极参与继续教育，成人中等教育、成人高等教育</w:t>
      </w:r>
      <w:r w:rsidRPr="004B5953">
        <w:rPr>
          <w:rFonts w:eastAsia="仿宋_GB2312" w:hint="eastAsia"/>
          <w:color w:val="000000" w:themeColor="text1"/>
          <w:kern w:val="2"/>
          <w:sz w:val="32"/>
          <w:szCs w:val="32"/>
        </w:rPr>
        <w:t>比率高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。积极搭建终身学习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“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立交桥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”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，促进各级各类教育纵向衔接、横向融通。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4.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城乡成人继续教育发展均衡。老年人、文盲、流动人口、失业人员、低收入人群、残疾人等弱势群体培训达到相关要求。青少年校外活动丰富多彩。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5.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积极推进学习型单位、学习型党组织、学习型社团等各类学习型组织创建工作，建立长效机制和激励机制，形成良好的区域终身学习舆论氛围，群众对建设学习型组织、学习型社区有较高的知晓率和参与度。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Chars="196" w:firstLine="627"/>
        <w:jc w:val="both"/>
        <w:rPr>
          <w:rFonts w:eastAsia="黑体"/>
          <w:color w:val="000000" w:themeColor="text1"/>
          <w:kern w:val="2"/>
          <w:sz w:val="32"/>
          <w:szCs w:val="32"/>
        </w:rPr>
      </w:pPr>
      <w:r w:rsidRPr="004B5953">
        <w:rPr>
          <w:rFonts w:eastAsia="黑体"/>
          <w:color w:val="000000" w:themeColor="text1"/>
          <w:kern w:val="2"/>
          <w:sz w:val="32"/>
          <w:szCs w:val="32"/>
        </w:rPr>
        <w:t>二、保障措施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6.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制定学习型城市建设规划。学习型城市建设工作纳入区域经济社会发展、教育、人才队伍建设等专项规划。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7.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建有一支专兼职结合的师资队伍。成人学校教师、志愿者等工作队伍作用发挥良好。支持中小学等学校教师参与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lastRenderedPageBreak/>
        <w:t>成人教育工作。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8.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成人学校办学条件良好。县（市、区）、镇（乡、街道）、社区（村）三级学习服务网络健全。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9.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发挥文化、科技、体育等机构的社会教育功能。公共图书馆、文化馆（站）、博物馆、美术馆、科技馆等各类公共设施免费向社会开放。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10.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加大经费投入力度。财政性教育经费支出达到国家规定要求。成人继续教育经费纳入财政预算，财政经常性教育经费不少于常住人口人均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2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元。企业依法按照职工工资总额的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1.5%—2.5%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足额提取教育培训经费。事业单位、机关等的在职培训经费得到保障。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Chars="196" w:firstLine="627"/>
        <w:jc w:val="both"/>
        <w:rPr>
          <w:rFonts w:eastAsia="黑体"/>
          <w:color w:val="000000" w:themeColor="text1"/>
          <w:kern w:val="2"/>
          <w:sz w:val="32"/>
          <w:szCs w:val="32"/>
        </w:rPr>
      </w:pPr>
      <w:r w:rsidRPr="004B5953">
        <w:rPr>
          <w:rFonts w:eastAsia="黑体"/>
          <w:color w:val="000000" w:themeColor="text1"/>
          <w:kern w:val="2"/>
          <w:sz w:val="32"/>
          <w:szCs w:val="32"/>
        </w:rPr>
        <w:t>三、建设成效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11.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区域内学习型城市创建氛围浓厚，群众参与率高，评价积极。各类学习型组织创建率达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80%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以上。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12.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重视学习型城市建设理论研究，形成了有效的建设经验和成果，并获得市级及以上表彰奖励以及省级推广。</w:t>
      </w:r>
    </w:p>
    <w:p w:rsidR="00944B11" w:rsidRPr="004B5953" w:rsidRDefault="00944B11" w:rsidP="00944B11">
      <w:pPr>
        <w:autoSpaceDE/>
        <w:autoSpaceDN/>
        <w:adjustRightInd/>
        <w:spacing w:line="580" w:lineRule="exact"/>
        <w:ind w:firstLine="640"/>
        <w:jc w:val="both"/>
        <w:rPr>
          <w:rFonts w:eastAsia="仿宋_GB2312"/>
          <w:color w:val="000000" w:themeColor="text1"/>
          <w:kern w:val="2"/>
          <w:sz w:val="32"/>
          <w:szCs w:val="32"/>
        </w:rPr>
      </w:pPr>
      <w:r w:rsidRPr="004B5953">
        <w:rPr>
          <w:rFonts w:eastAsia="仿宋_GB2312"/>
          <w:color w:val="000000" w:themeColor="text1"/>
          <w:kern w:val="2"/>
          <w:sz w:val="32"/>
          <w:szCs w:val="32"/>
        </w:rPr>
        <w:t>13.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区域内各类学习资源共建共享，较好构建起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“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人人皆学、时时能学、处处可学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”</w:t>
      </w:r>
      <w:r w:rsidRPr="004B5953">
        <w:rPr>
          <w:rFonts w:eastAsia="仿宋_GB2312"/>
          <w:color w:val="000000" w:themeColor="text1"/>
          <w:kern w:val="2"/>
          <w:sz w:val="32"/>
          <w:szCs w:val="32"/>
        </w:rPr>
        <w:t>的社会环境，在促进城市可持续发展、社会和谐等方面作用明显。</w:t>
      </w:r>
    </w:p>
    <w:p w:rsidR="0078488D" w:rsidRPr="00944B11" w:rsidRDefault="0078488D"/>
    <w:sectPr w:rsidR="0078488D" w:rsidRPr="00944B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3" w:rsidRDefault="00B86735" w:rsidP="004B595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B11"/>
    <w:rsid w:val="0078488D"/>
    <w:rsid w:val="00944B11"/>
    <w:rsid w:val="00B8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1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B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">
    <w:name w:val="页眉 Char"/>
    <w:basedOn w:val="a0"/>
    <w:link w:val="a3"/>
    <w:rsid w:val="00944B11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footer"/>
    <w:basedOn w:val="a"/>
    <w:link w:val="Char0"/>
    <w:rsid w:val="00944B1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944B11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</dc:creator>
  <cp:lastModifiedBy>delln</cp:lastModifiedBy>
  <cp:revision>2</cp:revision>
  <dcterms:created xsi:type="dcterms:W3CDTF">2018-10-12T05:19:00Z</dcterms:created>
  <dcterms:modified xsi:type="dcterms:W3CDTF">2018-10-12T05:19:00Z</dcterms:modified>
</cp:coreProperties>
</file>